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9239" w14:textId="77777777" w:rsidR="00680C33" w:rsidRDefault="00680C33" w:rsidP="00680C33">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30C3DEC" w14:textId="77777777" w:rsidR="00680C33" w:rsidRDefault="00680C33" w:rsidP="00680C33">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7B03678" w14:textId="77777777" w:rsidR="00680C33" w:rsidRDefault="00680C33" w:rsidP="00680C33">
      <w:pPr>
        <w:widowControl w:val="0"/>
        <w:bidi/>
        <w:spacing w:after="0"/>
        <w:jc w:val="center"/>
        <w:rPr>
          <w:rFonts w:cs="B Mitra" w:hint="cs"/>
          <w:b/>
          <w:bCs/>
          <w:sz w:val="32"/>
          <w:szCs w:val="32"/>
          <w:rtl/>
          <w:lang w:bidi="fa-IR"/>
        </w:rPr>
      </w:pPr>
      <w:r>
        <w:rPr>
          <w:rFonts w:cs="B Mitra" w:hint="cs"/>
          <w:b/>
          <w:bCs/>
          <w:sz w:val="32"/>
          <w:szCs w:val="32"/>
          <w:rtl/>
          <w:lang w:bidi="fa-IR"/>
        </w:rPr>
        <w:t>جلسه 826</w:t>
      </w:r>
    </w:p>
    <w:p w14:paraId="0E2641C3" w14:textId="77777777" w:rsidR="00680C33" w:rsidRDefault="00680C33" w:rsidP="00680C33">
      <w:pPr>
        <w:widowControl w:val="0"/>
        <w:bidi/>
        <w:spacing w:after="0"/>
        <w:ind w:firstLine="284"/>
        <w:jc w:val="both"/>
        <w:rPr>
          <w:rFonts w:cs="Abz-2 (Badr)" w:hint="cs"/>
          <w:sz w:val="28"/>
          <w:szCs w:val="28"/>
          <w:rtl/>
          <w:lang w:bidi="fa-IR"/>
        </w:rPr>
      </w:pPr>
      <w:bookmarkStart w:id="0" w:name="_Hlk159096966"/>
    </w:p>
    <w:p w14:paraId="6CB587BB"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C45911" w:themeColor="accent2" w:themeShade="BF"/>
          <w:sz w:val="28"/>
          <w:szCs w:val="28"/>
          <w:rtl/>
          <w:lang w:bidi="fa-IR"/>
        </w:rPr>
      </w:pPr>
      <w:bookmarkStart w:id="1" w:name="_Hlk197939201"/>
      <w:bookmarkStart w:id="2" w:name="_Hlk197852024"/>
      <w:bookmarkEnd w:id="0"/>
      <w:r>
        <w:rPr>
          <w:rFonts w:cs="Abz-2 (Badr)" w:hint="cs"/>
          <w:color w:val="C45911" w:themeColor="accent2" w:themeShade="BF"/>
          <w:sz w:val="28"/>
          <w:szCs w:val="28"/>
          <w:rtl/>
          <w:lang w:bidi="fa-IR"/>
        </w:rPr>
        <w:t>مقام دهم: عدم جواز ممانعت ملاقات طرف غير حاضن با محضون توسط حاضن</w:t>
      </w:r>
    </w:p>
    <w:p w14:paraId="0B2500D8"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bookmarkStart w:id="3" w:name="_Hlk197939656"/>
      <w:bookmarkEnd w:id="1"/>
      <w:r>
        <w:rPr>
          <w:rFonts w:cs="Abz-2 (Badr)" w:hint="cs"/>
          <w:color w:val="000000" w:themeColor="text1"/>
          <w:sz w:val="28"/>
          <w:szCs w:val="28"/>
          <w:rtl/>
          <w:lang w:bidi="fa-IR"/>
        </w:rPr>
        <w:t>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«إ</w:t>
      </w:r>
      <w:r>
        <w:rPr>
          <w:rFonts w:cs="Abz-2 (Badr)" w:hint="cs"/>
          <w:color w:val="0070C0"/>
          <w:sz w:val="28"/>
          <w:szCs w:val="28"/>
          <w:rtl/>
          <w:lang w:bidi="ar"/>
        </w:rPr>
        <w:t>ن كان ذكراً ذهب هو إلى أهله وزارها في كلّ أيّام حتّى لا ينقطع الرحم بينهما.</w:t>
      </w:r>
    </w:p>
    <w:p w14:paraId="259E098E"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70C0"/>
          <w:sz w:val="28"/>
          <w:szCs w:val="28"/>
          <w:rtl/>
          <w:lang w:bidi="ar"/>
        </w:rPr>
        <w:t>وإن كان جارية فإنّ أُمّها تأتيها زائرة، لأنّ الجارية لم تخرج، والأُمّ قد اعتادت الخروج. وإذا زارتها أُمّها فلا تطيل عندها، بل تخفّف وتنصرف ولا تنبسط في بيت مطلقاً.</w:t>
      </w:r>
    </w:p>
    <w:p w14:paraId="3AE15112"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70C0"/>
          <w:sz w:val="28"/>
          <w:szCs w:val="28"/>
          <w:rtl/>
          <w:lang w:bidi="ar"/>
        </w:rPr>
        <w:t>هذا في حال الصحّة.</w:t>
      </w:r>
    </w:p>
    <w:p w14:paraId="70EFFA20"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70C0"/>
          <w:sz w:val="28"/>
          <w:szCs w:val="28"/>
          <w:rtl/>
          <w:lang w:bidi="ar"/>
        </w:rPr>
        <w:t>فأمّا في حال المرض فأيّهما مرض قصده الصحيح. فإن كان المريض هو الولد، فلا تمنع أُمّه أن تجيئه وتراعيه وتمرّضه وتقيم عنده، لأنّها أشفق عليه وأحنأ وأرأف وأعطف وأرفق من غيرها. وإن مرضت الأُمّ فإنّ ولدها يزورها ويتردّد إليها، ذكراً كان أو أُنثى.»</w:t>
      </w:r>
      <w:r>
        <w:rPr>
          <w:rFonts w:cs="Abz-2 (Badr)"/>
          <w:color w:val="000000" w:themeColor="text1"/>
          <w:sz w:val="28"/>
          <w:szCs w:val="28"/>
          <w:vertAlign w:val="superscript"/>
          <w:rtl/>
          <w:lang w:bidi="ar"/>
        </w:rPr>
        <w:footnoteReference w:id="1"/>
      </w:r>
    </w:p>
    <w:p w14:paraId="415B8E9E"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علامه نيز در تحرير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«إذا صار الأب أولى بالولد إمّا لتزويج أُمّه أو لبلوغه المدّة التي قرّرناها، لم يمنع من الاجتماع بأُمّه، فالذكر يذهب إلى أُمّه والجارية تأتي أُمّها إليها من غير إطالة ولا انبساط في بيت مطلّقها.</w:t>
      </w:r>
    </w:p>
    <w:p w14:paraId="707B19F0"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lang w:bidi="ar"/>
        </w:rPr>
      </w:pPr>
      <w:r>
        <w:rPr>
          <w:rFonts w:cs="Abz-2 (Badr)" w:hint="cs"/>
          <w:color w:val="0070C0"/>
          <w:sz w:val="28"/>
          <w:szCs w:val="28"/>
          <w:rtl/>
          <w:lang w:bidi="ar"/>
        </w:rPr>
        <w:t>ولو مرض الولد لم يمنع أُمّه من مراعاته وتمريضه. وإن مرضت الأُمّ‌ لم يمنع الولد من التردّد إليها، ذكراً كان أو أُنثى.</w:t>
      </w:r>
    </w:p>
    <w:p w14:paraId="3D9F0486" w14:textId="77777777" w:rsidR="00680C33" w:rsidRDefault="00680C33" w:rsidP="00680C33">
      <w:pPr>
        <w:pStyle w:val="NormalWeb"/>
        <w:widowControl w:val="0"/>
        <w:bidi/>
        <w:spacing w:before="0" w:beforeAutospacing="0" w:after="0" w:afterAutospacing="0" w:line="252" w:lineRule="auto"/>
        <w:ind w:firstLine="284"/>
        <w:jc w:val="both"/>
        <w:rPr>
          <w:rFonts w:cs="Abz-2 (Badr)"/>
          <w:color w:val="000000" w:themeColor="text1"/>
          <w:sz w:val="28"/>
          <w:szCs w:val="28"/>
          <w:lang w:bidi="fa-IR"/>
        </w:rPr>
      </w:pPr>
      <w:r>
        <w:rPr>
          <w:rFonts w:cs="Abz-2 (Badr)" w:hint="cs"/>
          <w:color w:val="0070C0"/>
          <w:sz w:val="28"/>
          <w:szCs w:val="28"/>
          <w:rtl/>
          <w:lang w:bidi="ar"/>
        </w:rPr>
        <w:t>ولو مات الولد حضرته أُمّه وتولّت أمره وإخراجه، وكذا لو ماتت الأُمّ‌ حضرها الولد.»</w:t>
      </w:r>
      <w:r>
        <w:rPr>
          <w:rFonts w:cs="Abz-2 (Badr)"/>
          <w:color w:val="000000" w:themeColor="text1"/>
          <w:sz w:val="28"/>
          <w:szCs w:val="28"/>
          <w:vertAlign w:val="superscript"/>
          <w:rtl/>
          <w:lang w:bidi="ar"/>
        </w:rPr>
        <w:footnoteReference w:id="2"/>
      </w:r>
    </w:p>
    <w:bookmarkEnd w:id="3"/>
    <w:p w14:paraId="187D57BB"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مطلب که حضانت نبايد به نحوی باشد که سبب قطع رحم گردد، از مسلّمات است، زيرا حضانت امتنانی است که از جانب شارع برای حاضن صورت پذيرفته است و نبايد به نحوی انجام گيرد که منجر به تضييع حق غير گردد.</w:t>
      </w:r>
    </w:p>
    <w:p w14:paraId="1B9B6C9D"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اما اين که بر فرزند لازم است که به نزد مادر پدر يا مادر برود يا اين که آنها می</w:t>
      </w:r>
      <w:r>
        <w:rPr>
          <w:rFonts w:cs="Abz-2 (Badr)" w:hint="cs"/>
          <w:color w:val="000000" w:themeColor="text1"/>
          <w:sz w:val="28"/>
          <w:szCs w:val="28"/>
          <w:rtl/>
          <w:lang w:bidi="fa-IR"/>
        </w:rPr>
        <w:softHyphen/>
        <w:t>توانند به نزد فرزند بيايند، مطلبی است که خارج از بحث حضانت است و در جای خود بايد مورد بررسی قرار بگيرد.</w:t>
      </w:r>
    </w:p>
    <w:p w14:paraId="34A2880C"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C45911" w:themeColor="accent2" w:themeShade="BF"/>
          <w:sz w:val="28"/>
          <w:szCs w:val="28"/>
          <w:rtl/>
          <w:lang w:bidi="fa-IR"/>
        </w:rPr>
      </w:pPr>
      <w:r>
        <w:rPr>
          <w:rFonts w:cs="Abz-2 (Badr)" w:hint="cs"/>
          <w:color w:val="C45911" w:themeColor="accent2" w:themeShade="BF"/>
          <w:sz w:val="28"/>
          <w:szCs w:val="28"/>
          <w:rtl/>
          <w:lang w:bidi="fa-IR"/>
        </w:rPr>
        <w:t>مقام يازدهم: وجوب انفاق بر پدر در ايام حضانت مادر</w:t>
      </w:r>
    </w:p>
    <w:p w14:paraId="5A49F300"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علامه در تحرير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لا يسقط عن الأب الموسر نفقة ولده بحضانة أُمّه.»</w:t>
      </w:r>
      <w:r>
        <w:rPr>
          <w:rFonts w:cs="Abz-2 (Badr)"/>
          <w:color w:val="000000" w:themeColor="text1"/>
          <w:sz w:val="28"/>
          <w:szCs w:val="28"/>
          <w:vertAlign w:val="superscript"/>
          <w:rtl/>
          <w:lang w:bidi="ar"/>
        </w:rPr>
        <w:footnoteReference w:id="3"/>
      </w:r>
    </w:p>
    <w:p w14:paraId="61FC1B25"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معلوم است که اين مطلب در جايی است که فرزند از خود مالی نداشته باشد و حق نيز در اين مدعا با علامه است، زيرا عهده</w:t>
      </w:r>
      <w:r>
        <w:rPr>
          <w:rFonts w:cs="Abz-2 (Badr)" w:hint="cs"/>
          <w:color w:val="000000" w:themeColor="text1"/>
          <w:sz w:val="28"/>
          <w:szCs w:val="28"/>
          <w:rtl/>
          <w:lang w:bidi="fa-IR"/>
        </w:rPr>
        <w:softHyphen/>
        <w:t>دار شدن حضانت توسط مادر، منافاتی با وجوب اعطاء نفقه وی توسط پدر ندارد و اطلاقاتی که دلالت بر آن دارند، شامل موردی که حضانت فرزند در اختيار مادر است نيز می</w:t>
      </w:r>
      <w:r>
        <w:rPr>
          <w:rFonts w:cs="Abz-2 (Badr)" w:hint="cs"/>
          <w:color w:val="000000" w:themeColor="text1"/>
          <w:sz w:val="28"/>
          <w:szCs w:val="28"/>
          <w:rtl/>
          <w:lang w:bidi="fa-IR"/>
        </w:rPr>
        <w:softHyphen/>
        <w:t>شوند.</w:t>
      </w:r>
    </w:p>
    <w:p w14:paraId="1FAA339C"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C45911" w:themeColor="accent2" w:themeShade="BF"/>
          <w:sz w:val="28"/>
          <w:szCs w:val="28"/>
          <w:rtl/>
          <w:lang w:bidi="fa-IR"/>
        </w:rPr>
      </w:pPr>
      <w:bookmarkStart w:id="4" w:name="_Hlk198030432"/>
      <w:r>
        <w:rPr>
          <w:rFonts w:cs="Abz-2 (Badr)" w:hint="cs"/>
          <w:color w:val="C45911" w:themeColor="accent2" w:themeShade="BF"/>
          <w:sz w:val="28"/>
          <w:szCs w:val="28"/>
          <w:rtl/>
          <w:lang w:bidi="fa-IR"/>
        </w:rPr>
        <w:t>مقام دوازدهم: حکم حضانت فرزند با فقدان پدر و مادر</w:t>
      </w:r>
    </w:p>
    <w:p w14:paraId="5F8AA0FE"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bookmarkStart w:id="5" w:name="_Hlk198030396"/>
      <w:bookmarkEnd w:id="4"/>
      <w:r>
        <w:rPr>
          <w:rFonts w:cs="Abz-2 (Badr)" w:hint="cs"/>
          <w:color w:val="000000" w:themeColor="text1"/>
          <w:sz w:val="28"/>
          <w:szCs w:val="28"/>
          <w:rtl/>
          <w:lang w:bidi="fa-IR"/>
        </w:rPr>
        <w:t>در خصوص اين مسأله، روايتی وارد نشده است.</w:t>
      </w:r>
    </w:p>
    <w:p w14:paraId="644F0863"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بله، در روايتی که شيخ در امالی از ابن عقده نقل کرده است، آمده است: </w:t>
      </w:r>
      <w:r>
        <w:rPr>
          <w:rFonts w:cs="Abz-2 (Badr)" w:hint="cs"/>
          <w:color w:val="00B0F0"/>
          <w:sz w:val="28"/>
          <w:szCs w:val="28"/>
          <w:rtl/>
          <w:lang w:bidi="fa-IR"/>
        </w:rPr>
        <w:t>«</w:t>
      </w:r>
      <w:r>
        <w:rPr>
          <w:rFonts w:cs="Abz-2 (Badr)" w:hint="cs"/>
          <w:color w:val="00B0F0"/>
          <w:sz w:val="28"/>
          <w:szCs w:val="28"/>
          <w:rtl/>
          <w:lang w:bidi="ar"/>
        </w:rPr>
        <w:t>أخبرني عبيدالله بن علي، قال: هذا كتاب جدّي عبيدالله بن علي، فقرأت فيه: أخبرني علي بن موسى أبو الحسن، عن أبيه، عن جدّه جعفر بن محمّد، عن آبائه، عن علي عليهم السلام: أنّ النبي(ص) قضى بابنة حمزة لخالتها وقال: الخالة والدة.»</w:t>
      </w:r>
      <w:r>
        <w:rPr>
          <w:rFonts w:cs="Abz-2 (Badr)"/>
          <w:color w:val="000000" w:themeColor="text1"/>
          <w:sz w:val="28"/>
          <w:szCs w:val="28"/>
          <w:vertAlign w:val="superscript"/>
          <w:rtl/>
          <w:lang w:bidi="ar"/>
        </w:rPr>
        <w:footnoteReference w:id="4"/>
      </w:r>
    </w:p>
    <w:p w14:paraId="4701AF2E"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عامه در اين مسأله بسيار تفصيل داده</w:t>
      </w:r>
      <w:r>
        <w:rPr>
          <w:rFonts w:cs="Abz-2 (Badr)" w:hint="cs"/>
          <w:color w:val="000000" w:themeColor="text1"/>
          <w:sz w:val="28"/>
          <w:szCs w:val="28"/>
          <w:rtl/>
          <w:lang w:bidi="fa-IR"/>
        </w:rPr>
        <w:softHyphen/>
        <w:t>اند.</w:t>
      </w:r>
    </w:p>
    <w:p w14:paraId="26AA6329"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0000" w:themeColor="text1"/>
          <w:sz w:val="28"/>
          <w:szCs w:val="28"/>
          <w:rtl/>
          <w:lang w:bidi="fa-IR"/>
        </w:rPr>
        <w:t>وهبه زحيلی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«إ</w:t>
      </w:r>
      <w:r>
        <w:rPr>
          <w:rFonts w:cs="Abz-2 (Badr)" w:hint="cs"/>
          <w:color w:val="0070C0"/>
          <w:sz w:val="28"/>
          <w:szCs w:val="28"/>
          <w:rtl/>
        </w:rPr>
        <w:t>نّ‌‌ ترتيب الحواضن من النساء في المذاهب كما يأتي:</w:t>
      </w:r>
    </w:p>
    <w:p w14:paraId="71AAE180" w14:textId="77777777" w:rsidR="00680C33" w:rsidRDefault="00680C33" w:rsidP="00680C33">
      <w:pPr>
        <w:pStyle w:val="NormalWeb"/>
        <w:widowControl w:val="0"/>
        <w:bidi/>
        <w:spacing w:before="0" w:beforeAutospacing="0" w:after="0" w:afterAutospacing="0" w:line="252" w:lineRule="auto"/>
        <w:ind w:firstLine="284"/>
        <w:jc w:val="both"/>
        <w:rPr>
          <w:rFonts w:cs="Abz-2 (Badr)"/>
          <w:color w:val="0070C0"/>
          <w:sz w:val="28"/>
          <w:szCs w:val="28"/>
        </w:rPr>
      </w:pPr>
      <w:r>
        <w:rPr>
          <w:rFonts w:cs="Abz-2 (Badr)" w:hint="cs"/>
          <w:color w:val="0070C0"/>
          <w:sz w:val="28"/>
          <w:szCs w:val="28"/>
          <w:rtl/>
        </w:rPr>
        <w:t>أ ـ الحنفيّة: الأُمّ، ثمّ أُمّ الأّمّ، ثمّ أُمّ الأب، ثمّ الأخوات، ثمّ الخالات، ثمّ بنات الأُخت، ثم بنات الأخ، ثمّ العمّات، ثمّ العصبات بترتيب الإرث.</w:t>
      </w:r>
    </w:p>
    <w:p w14:paraId="4399E1E3"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70C0"/>
          <w:sz w:val="28"/>
          <w:szCs w:val="28"/>
          <w:rtl/>
        </w:rPr>
      </w:pPr>
      <w:r>
        <w:rPr>
          <w:rFonts w:cs="Abz-2 (Badr)" w:hint="cs"/>
          <w:color w:val="0070C0"/>
          <w:sz w:val="28"/>
          <w:szCs w:val="28"/>
          <w:rtl/>
        </w:rPr>
        <w:t>ب ـ المالكيّة: الأُمّ، ثمّ الجدّة لأُمّ، ثمّ الخالة، ثمّ الجدّة لأب وإن علت، ثمّ الأُخت، ثمّ العمّة، ثمّ ابنة الأخ، ثمّ للوصيّ، ثمّ للأفضل من العصبة.</w:t>
      </w:r>
    </w:p>
    <w:p w14:paraId="017B9B02" w14:textId="77777777" w:rsidR="00680C33" w:rsidRDefault="00680C33" w:rsidP="00680C33">
      <w:pPr>
        <w:pStyle w:val="NormalWeb"/>
        <w:widowControl w:val="0"/>
        <w:bidi/>
        <w:spacing w:before="0" w:beforeAutospacing="0" w:after="0" w:afterAutospacing="0" w:line="256" w:lineRule="auto"/>
        <w:ind w:firstLine="284"/>
        <w:jc w:val="both"/>
        <w:rPr>
          <w:rFonts w:cs="Abz-2 (Badr)" w:hint="cs"/>
          <w:color w:val="0070C0"/>
          <w:sz w:val="28"/>
          <w:szCs w:val="28"/>
          <w:rtl/>
        </w:rPr>
      </w:pPr>
      <w:r>
        <w:rPr>
          <w:rFonts w:cs="Abz-2 (Badr)" w:hint="cs"/>
          <w:color w:val="0070C0"/>
          <w:sz w:val="28"/>
          <w:szCs w:val="28"/>
          <w:rtl/>
        </w:rPr>
        <w:lastRenderedPageBreak/>
        <w:t>ج ـ الشافعيّة: الأُمّ، ثمّ أُمّ الأُمّ، ثمّ أُمّ الأب، ثمّ الأخوات، ثمّ الخالات، ثمّ بنات الأخ وبنات الأُخت، ثمّ العمّات، ثمّ لكلّ ذي محرم وارث من العصبات على ترتيب الإرث، فهم كالحنفيّة.</w:t>
      </w:r>
    </w:p>
    <w:p w14:paraId="7DF65186" w14:textId="77777777" w:rsidR="00680C33" w:rsidRDefault="00680C33" w:rsidP="00680C33">
      <w:pPr>
        <w:pStyle w:val="NormalWeb"/>
        <w:widowControl w:val="0"/>
        <w:bidi/>
        <w:spacing w:before="0" w:beforeAutospacing="0" w:after="0" w:afterAutospacing="0" w:line="256" w:lineRule="auto"/>
        <w:ind w:firstLine="284"/>
        <w:jc w:val="both"/>
        <w:rPr>
          <w:rFonts w:cs="Abz-2 (Badr)"/>
          <w:color w:val="0070C0"/>
          <w:sz w:val="28"/>
          <w:szCs w:val="28"/>
        </w:rPr>
      </w:pPr>
      <w:r>
        <w:rPr>
          <w:rFonts w:cs="Abz-2 (Badr)" w:hint="cs"/>
          <w:color w:val="0070C0"/>
          <w:sz w:val="28"/>
          <w:szCs w:val="28"/>
          <w:rtl/>
        </w:rPr>
        <w:t>د ـ الحنابلة: الأُمّ، ثمّ أُمّ الأُمّ، ثمّ أُمّ الأب، ثمّ الجدّ، ثمّ أُمّهاته، ثمّ أُخت لأبوين، ثمّ لأُمّ، ثمّ لأب، ثمّ خالة لأبوين، ثمّ لأُمّ، ثمّ لأب، ثمّ عمّة، ثمّ خالة أُمّ، ثمّ خالة أب، ثمّ عمّته، ثمّ بنت أخ، ثمّ بنت عمّ أب، ثمّ باقي العصبة الأقرب فالأقرب...»</w:t>
      </w:r>
      <w:r>
        <w:rPr>
          <w:rFonts w:cs="Abz-2 (Badr)"/>
          <w:color w:val="000000" w:themeColor="text1"/>
          <w:sz w:val="28"/>
          <w:szCs w:val="28"/>
          <w:vertAlign w:val="superscript"/>
          <w:rtl/>
          <w:lang w:bidi="ar"/>
        </w:rPr>
        <w:footnoteReference w:id="5"/>
      </w:r>
    </w:p>
    <w:p w14:paraId="6DA26B8D" w14:textId="77777777" w:rsidR="00680C33" w:rsidRDefault="00680C33" w:rsidP="00680C33">
      <w:pPr>
        <w:pStyle w:val="NormalWeb"/>
        <w:widowControl w:val="0"/>
        <w:bidi/>
        <w:spacing w:before="0" w:beforeAutospacing="0" w:after="0" w:afterAutospacing="0" w:line="252" w:lineRule="auto"/>
        <w:ind w:firstLine="284"/>
        <w:jc w:val="both"/>
        <w:rPr>
          <w:rFonts w:cs="Abz-2 (Badr)" w:hint="cs"/>
          <w:color w:val="000000" w:themeColor="text1"/>
          <w:sz w:val="28"/>
          <w:szCs w:val="28"/>
          <w:rtl/>
        </w:rPr>
      </w:pPr>
      <w:r>
        <w:rPr>
          <w:rFonts w:cs="Abz-2 (Badr)" w:hint="cs"/>
          <w:color w:val="000000" w:themeColor="text1"/>
          <w:sz w:val="28"/>
          <w:szCs w:val="28"/>
          <w:rtl/>
        </w:rPr>
        <w:t>ادامه اقوال عامه را جلسه بعد مطرح می</w:t>
      </w:r>
      <w:r>
        <w:rPr>
          <w:rFonts w:cs="Abz-2 (Badr)" w:hint="cs"/>
          <w:color w:val="000000" w:themeColor="text1"/>
          <w:sz w:val="28"/>
          <w:szCs w:val="28"/>
          <w:rtl/>
        </w:rPr>
        <w:softHyphen/>
        <w:t>کنيم ان شاء الله.</w:t>
      </w:r>
      <w:bookmarkEnd w:id="2"/>
      <w:bookmarkEnd w:id="5"/>
    </w:p>
    <w:p w14:paraId="358854CE" w14:textId="2276C044" w:rsidR="0027088A" w:rsidRPr="00680C33" w:rsidRDefault="0027088A" w:rsidP="00680C33"/>
    <w:sectPr w:rsidR="0027088A" w:rsidRPr="00680C33"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E87DC" w14:textId="77777777" w:rsidR="00F46B08" w:rsidRDefault="00F46B08" w:rsidP="00F71127">
      <w:pPr>
        <w:spacing w:after="0" w:line="240" w:lineRule="auto"/>
      </w:pPr>
      <w:r>
        <w:separator/>
      </w:r>
    </w:p>
  </w:endnote>
  <w:endnote w:type="continuationSeparator" w:id="0">
    <w:p w14:paraId="05DD7C18" w14:textId="77777777" w:rsidR="00F46B08" w:rsidRDefault="00F46B0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5A1F9" w14:textId="77777777" w:rsidR="00F46B08" w:rsidRDefault="00F46B08" w:rsidP="00EE25C0">
      <w:pPr>
        <w:bidi/>
        <w:spacing w:after="0" w:line="240" w:lineRule="auto"/>
      </w:pPr>
      <w:r>
        <w:separator/>
      </w:r>
    </w:p>
  </w:footnote>
  <w:footnote w:type="continuationSeparator" w:id="0">
    <w:p w14:paraId="336F4D38" w14:textId="77777777" w:rsidR="00F46B08" w:rsidRDefault="00F46B08" w:rsidP="00F71127">
      <w:pPr>
        <w:bidi/>
        <w:spacing w:after="0" w:line="240" w:lineRule="auto"/>
      </w:pPr>
      <w:r>
        <w:continuationSeparator/>
      </w:r>
    </w:p>
  </w:footnote>
  <w:footnote w:id="1">
    <w:p w14:paraId="0B04FEEE" w14:textId="77777777" w:rsidR="00680C33" w:rsidRDefault="00680C33" w:rsidP="00680C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مبسوط،ج6،ص40 و 41.</w:t>
      </w:r>
    </w:p>
  </w:footnote>
  <w:footnote w:id="2">
    <w:p w14:paraId="59B4A9EE" w14:textId="77777777" w:rsidR="00680C33" w:rsidRDefault="00680C33" w:rsidP="00680C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تحرير،ج4،ص13.</w:t>
      </w:r>
    </w:p>
  </w:footnote>
  <w:footnote w:id="3">
    <w:p w14:paraId="02E7F584" w14:textId="77777777" w:rsidR="00680C33" w:rsidRDefault="00680C33" w:rsidP="00680C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همان،ص14.</w:t>
      </w:r>
    </w:p>
  </w:footnote>
  <w:footnote w:id="4">
    <w:p w14:paraId="17C28B91" w14:textId="77777777" w:rsidR="00680C33" w:rsidRDefault="00680C33" w:rsidP="00680C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امالی طوسی،ص342،ح700 ـ وسائل،ج21،ص460،ح27579.</w:t>
      </w:r>
    </w:p>
  </w:footnote>
  <w:footnote w:id="5">
    <w:p w14:paraId="1D70FF84" w14:textId="77777777" w:rsidR="00680C33" w:rsidRDefault="00680C33" w:rsidP="00680C33">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الفقه الإسلامی وأدلّته،ج10،ص7300.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10F2ABA"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885058">
                            <w:rPr>
                              <w:rFonts w:cs="B Mehr" w:hint="cs"/>
                              <w:rtl/>
                              <w:lang w:bidi="fa-IR"/>
                            </w:rPr>
                            <w:t>چهار</w:t>
                          </w:r>
                          <w:r w:rsidR="001F7B61">
                            <w:rPr>
                              <w:rFonts w:cs="B Mehr" w:hint="cs"/>
                              <w:rtl/>
                              <w:lang w:bidi="fa-IR"/>
                            </w:rPr>
                            <w:t xml:space="preserve"> شنبه</w:t>
                          </w:r>
                          <w:r>
                            <w:rPr>
                              <w:rFonts w:cs="B Mehr" w:hint="cs"/>
                              <w:rtl/>
                              <w:lang w:bidi="fa-IR"/>
                            </w:rPr>
                            <w:t xml:space="preserve"> </w:t>
                          </w:r>
                          <w:r>
                            <w:rPr>
                              <w:rFonts w:cs="B Mehr" w:hint="cs"/>
                              <w:rtl/>
                            </w:rPr>
                            <w:t xml:space="preserve">،   </w:t>
                          </w:r>
                          <w:r w:rsidR="00885058">
                            <w:rPr>
                              <w:rFonts w:cs="B Mehr" w:hint="cs"/>
                              <w:rtl/>
                            </w:rPr>
                            <w:t>24</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510F2ABA"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885058">
                      <w:rPr>
                        <w:rFonts w:cs="B Mehr" w:hint="cs"/>
                        <w:rtl/>
                        <w:lang w:bidi="fa-IR"/>
                      </w:rPr>
                      <w:t>چهار</w:t>
                    </w:r>
                    <w:r w:rsidR="001F7B61">
                      <w:rPr>
                        <w:rFonts w:cs="B Mehr" w:hint="cs"/>
                        <w:rtl/>
                        <w:lang w:bidi="fa-IR"/>
                      </w:rPr>
                      <w:t xml:space="preserve"> شنبه</w:t>
                    </w:r>
                    <w:r>
                      <w:rPr>
                        <w:rFonts w:cs="B Mehr" w:hint="cs"/>
                        <w:rtl/>
                        <w:lang w:bidi="fa-IR"/>
                      </w:rPr>
                      <w:t xml:space="preserve"> </w:t>
                    </w:r>
                    <w:r>
                      <w:rPr>
                        <w:rFonts w:cs="B Mehr" w:hint="cs"/>
                        <w:rtl/>
                      </w:rPr>
                      <w:t xml:space="preserve">،   </w:t>
                    </w:r>
                    <w:r w:rsidR="00885058">
                      <w:rPr>
                        <w:rFonts w:cs="B Mehr" w:hint="cs"/>
                        <w:rtl/>
                      </w:rPr>
                      <w:t>24</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21719</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573</cp:revision>
  <cp:lastPrinted>2025-04-14T09:12:00Z</cp:lastPrinted>
  <dcterms:created xsi:type="dcterms:W3CDTF">2022-10-16T08:36:00Z</dcterms:created>
  <dcterms:modified xsi:type="dcterms:W3CDTF">2025-05-17T04:09:00Z</dcterms:modified>
</cp:coreProperties>
</file>